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72F3F" w14:textId="77777777" w:rsidR="0095346E" w:rsidRPr="0095346E" w:rsidRDefault="0095346E" w:rsidP="0095346E">
      <w:pPr>
        <w:jc w:val="right"/>
        <w:rPr>
          <w:rFonts w:ascii="AvenirNext LT Pro Regular" w:hAnsi="AvenirNext LT Pro Regular" w:cs="Arial"/>
          <w:b/>
          <w:lang w:val="en-US"/>
        </w:rPr>
      </w:pPr>
      <w:r w:rsidRPr="00443983">
        <w:rPr>
          <w:rFonts w:ascii="AvenirNext LT Pro Regular" w:eastAsia="AvenirNext LT Pro Regular" w:hAnsi="AvenirNext LT Pro Regular" w:cs="AvenirNext LT Pro Regular"/>
          <w:b/>
          <w:bCs/>
          <w:bdr w:val="nil"/>
          <w:lang w:val="en-US"/>
        </w:rPr>
        <w:t>Press Release</w:t>
      </w:r>
    </w:p>
    <w:p w14:paraId="66EC376F" w14:textId="77777777" w:rsidR="0095346E" w:rsidRPr="0095346E" w:rsidRDefault="0095346E" w:rsidP="0095346E">
      <w:pPr>
        <w:jc w:val="right"/>
        <w:rPr>
          <w:rFonts w:ascii="AvenirNext LT Pro Regular" w:hAnsi="AvenirNext LT Pro Regular"/>
          <w:lang w:val="en-US"/>
        </w:rPr>
      </w:pPr>
      <w:proofErr w:type="spellStart"/>
      <w:r w:rsidRPr="00443983">
        <w:rPr>
          <w:rFonts w:ascii="AvenirNext LT Pro Regular" w:eastAsia="AvenirNext LT Pro Regular" w:hAnsi="AvenirNext LT Pro Regular" w:cs="AvenirNext LT Pro Regular"/>
          <w:bdr w:val="nil"/>
          <w:lang w:val="en-US"/>
        </w:rPr>
        <w:t>Glashütte</w:t>
      </w:r>
      <w:proofErr w:type="spellEnd"/>
      <w:r w:rsidRPr="00443983">
        <w:rPr>
          <w:rFonts w:ascii="AvenirNext LT Pro Regular" w:eastAsia="AvenirNext LT Pro Regular" w:hAnsi="AvenirNext LT Pro Regular" w:cs="AvenirNext LT Pro Regular"/>
          <w:bdr w:val="nil"/>
          <w:lang w:val="en-US"/>
        </w:rPr>
        <w:t>, February 2018</w:t>
      </w:r>
    </w:p>
    <w:p w14:paraId="0F179C55" w14:textId="77777777" w:rsidR="0095346E" w:rsidRPr="0095346E" w:rsidRDefault="0095346E" w:rsidP="0095346E">
      <w:pPr>
        <w:jc w:val="right"/>
        <w:rPr>
          <w:rFonts w:ascii="AvenirNext LT Pro Regular" w:hAnsi="AvenirNext LT Pro Regular"/>
          <w:lang w:val="en-US"/>
        </w:rPr>
      </w:pPr>
    </w:p>
    <w:p w14:paraId="17D517C9" w14:textId="77777777" w:rsidR="0095346E" w:rsidRPr="0095346E" w:rsidRDefault="0095346E" w:rsidP="0095346E">
      <w:pPr>
        <w:jc w:val="right"/>
        <w:rPr>
          <w:rFonts w:ascii="AvenirNext LT Pro Regular" w:hAnsi="AvenirNext LT Pro Regular" w:cs="Arial"/>
          <w:b/>
          <w:lang w:val="en-US"/>
        </w:rPr>
      </w:pPr>
    </w:p>
    <w:p w14:paraId="64FE489E" w14:textId="77777777" w:rsidR="0095346E" w:rsidRPr="0095346E" w:rsidRDefault="0095346E" w:rsidP="0095346E">
      <w:pPr>
        <w:rPr>
          <w:rFonts w:ascii="AvenirNext LT Pro Regular" w:hAnsi="AvenirNext LT Pro Regular" w:cs="Arial"/>
          <w:bCs/>
          <w:sz w:val="34"/>
          <w:szCs w:val="34"/>
          <w:lang w:val="en-US"/>
        </w:rPr>
      </w:pPr>
      <w:r w:rsidRPr="00443983">
        <w:rPr>
          <w:rFonts w:ascii="AvenirNext LT Pro Regular" w:eastAsia="AvenirNext LT Pro Regular" w:hAnsi="AvenirNext LT Pro Regular" w:cs="AvenirNext LT Pro Regular"/>
          <w:b/>
          <w:bCs/>
          <w:sz w:val="48"/>
          <w:szCs w:val="48"/>
          <w:bdr w:val="nil"/>
          <w:lang w:val="en-US"/>
        </w:rPr>
        <w:t>Moritz Grossmann receives patent for the BENU Tourbillon minute display</w:t>
      </w:r>
    </w:p>
    <w:p w14:paraId="0A34C3FF" w14:textId="77777777" w:rsidR="0095346E" w:rsidRPr="0095346E" w:rsidRDefault="0095346E" w:rsidP="0095346E">
      <w:pPr>
        <w:jc w:val="both"/>
        <w:rPr>
          <w:rFonts w:ascii="AvenirNext LT Pro Regular" w:hAnsi="AvenirNext LT Pro Regular"/>
          <w:lang w:val="en-US"/>
        </w:rPr>
      </w:pPr>
    </w:p>
    <w:p w14:paraId="254FC503" w14:textId="77777777" w:rsidR="0095346E" w:rsidRPr="0095346E" w:rsidRDefault="0095346E" w:rsidP="0095346E">
      <w:pPr>
        <w:jc w:val="both"/>
        <w:rPr>
          <w:rFonts w:ascii="AvenirNext LT Pro Regular" w:hAnsi="AvenirNext LT Pro Regular"/>
          <w:lang w:val="en-US"/>
        </w:rPr>
      </w:pPr>
      <w:r w:rsidRPr="00443983">
        <w:rPr>
          <w:rFonts w:ascii="AvenirNext LT Pro Regular" w:eastAsia="AvenirNext LT Pro Regular" w:hAnsi="AvenirNext LT Pro Regular" w:cs="AvenirNext LT Pro Regular"/>
          <w:bdr w:val="nil"/>
          <w:lang w:val="en-US"/>
        </w:rPr>
        <w:t xml:space="preserve">Launched in 2013, the BENU Tourbillon with the flying three-minute tourbillon incorporates several developments conceived by Grossmann’s watchmakers for which utility model or patent applications were filed: the V-shaped design of the balance bridge (utility model registered), the stop seconds mechanism with a hair brush (patent pending) and the double minute display (patent pending). </w:t>
      </w:r>
    </w:p>
    <w:p w14:paraId="0045C07C" w14:textId="77777777" w:rsidR="0095346E" w:rsidRPr="0095346E" w:rsidRDefault="0095346E" w:rsidP="0095346E">
      <w:pPr>
        <w:jc w:val="both"/>
        <w:rPr>
          <w:rFonts w:ascii="AvenirNext LT Pro Regular" w:hAnsi="AvenirNext LT Pro Regular"/>
          <w:lang w:val="en-US"/>
        </w:rPr>
      </w:pPr>
    </w:p>
    <w:p w14:paraId="0EF617F6" w14:textId="77777777" w:rsidR="0095346E" w:rsidRPr="0095346E" w:rsidRDefault="0095346E" w:rsidP="0095346E">
      <w:pPr>
        <w:jc w:val="both"/>
        <w:rPr>
          <w:rFonts w:ascii="AvenirNext LT Pro Regular" w:hAnsi="AvenirNext LT Pro Regular"/>
          <w:lang w:val="en-US"/>
        </w:rPr>
      </w:pPr>
      <w:r w:rsidRPr="00443983">
        <w:rPr>
          <w:rFonts w:ascii="AvenirNext LT Pro Regular" w:eastAsia="AvenirNext LT Pro Regular" w:hAnsi="AvenirNext LT Pro Regular" w:cs="AvenirNext LT Pro Regular"/>
          <w:bdr w:val="nil"/>
          <w:lang w:val="en-US"/>
        </w:rPr>
        <w:t xml:space="preserve">In January 2018, the double minute display was the first of the new developments to receive a European patent (No. 2874021). To accommodate a particularly large tourbillon and an appropriately large tourbillon aperture in the dial of the BENU, the </w:t>
      </w:r>
      <w:proofErr w:type="spellStart"/>
      <w:r w:rsidRPr="00443983">
        <w:rPr>
          <w:rFonts w:ascii="AvenirNext LT Pro Regular" w:eastAsia="AvenirNext LT Pro Regular" w:hAnsi="AvenirNext LT Pro Regular" w:cs="AvenirNext LT Pro Regular"/>
          <w:bdr w:val="nil"/>
          <w:lang w:val="en-US"/>
        </w:rPr>
        <w:t>centre</w:t>
      </w:r>
      <w:proofErr w:type="spellEnd"/>
      <w:r w:rsidRPr="00443983">
        <w:rPr>
          <w:rFonts w:ascii="AvenirNext LT Pro Regular" w:eastAsia="AvenirNext LT Pro Regular" w:hAnsi="AvenirNext LT Pro Regular" w:cs="AvenirNext LT Pro Regular"/>
          <w:bdr w:val="nil"/>
          <w:lang w:val="en-US"/>
        </w:rPr>
        <w:t xml:space="preserve"> minute display relies on two scales. The outer scale is interrupted by the tourbillon aperture in the range from 25 to 35 minutes; the missing segment is replaced by the inner scale. When the minute hand transits the tourbillon aperture, its extension sweeps the inner scale, allowing precise readings during that ten-minute interval. The attractive and unusual solution lives up to </w:t>
      </w:r>
      <w:r>
        <w:rPr>
          <w:rFonts w:ascii="AvenirNext LT Pro Regular" w:eastAsia="AvenirNext LT Pro Regular" w:hAnsi="AvenirNext LT Pro Regular" w:cs="AvenirNext LT Pro Regular"/>
          <w:bdr w:val="nil"/>
          <w:lang w:val="en-US"/>
        </w:rPr>
        <w:t xml:space="preserve">the </w:t>
      </w:r>
      <w:r w:rsidRPr="00443983">
        <w:rPr>
          <w:rFonts w:ascii="AvenirNext LT Pro Regular" w:eastAsia="AvenirNext LT Pro Regular" w:hAnsi="AvenirNext LT Pro Regular" w:cs="AvenirNext LT Pro Regular"/>
          <w:bdr w:val="nil"/>
          <w:lang w:val="en-US"/>
        </w:rPr>
        <w:t>ambition of delivering uncompromising precision.</w:t>
      </w:r>
    </w:p>
    <w:p w14:paraId="287ED8E2" w14:textId="77777777" w:rsidR="00E16693" w:rsidRPr="0095346E" w:rsidRDefault="00E16693" w:rsidP="00E16693">
      <w:pPr>
        <w:jc w:val="both"/>
        <w:rPr>
          <w:rFonts w:ascii="AvenirNext LT Pro Regular" w:hAnsi="AvenirNext LT Pro Regular"/>
          <w:lang w:val="en-US"/>
        </w:rPr>
      </w:pPr>
    </w:p>
    <w:p w14:paraId="2553126C" w14:textId="77777777" w:rsidR="00E16693" w:rsidRPr="0095346E" w:rsidRDefault="00E16693" w:rsidP="00E16693">
      <w:pPr>
        <w:jc w:val="both"/>
        <w:rPr>
          <w:rFonts w:ascii="AvenirNext LT Pro Regular" w:hAnsi="AvenirNext LT Pro Regular"/>
          <w:lang w:val="en-US"/>
        </w:rPr>
      </w:pPr>
    </w:p>
    <w:p w14:paraId="3A2FC9B2" w14:textId="77777777" w:rsidR="006F124B" w:rsidRPr="0095346E" w:rsidRDefault="006F124B" w:rsidP="006F124B">
      <w:pPr>
        <w:jc w:val="both"/>
        <w:rPr>
          <w:rFonts w:ascii="AvenirNext LT Pro Regular" w:hAnsi="AvenirNext LT Pro Regular"/>
          <w:b/>
          <w:i/>
          <w:sz w:val="14"/>
          <w:szCs w:val="14"/>
          <w:lang w:val="en-US"/>
        </w:rPr>
      </w:pPr>
    </w:p>
    <w:p w14:paraId="7E1384FC" w14:textId="77777777" w:rsidR="0095346E" w:rsidRPr="007C486D" w:rsidRDefault="0095346E" w:rsidP="0095346E">
      <w:pPr>
        <w:jc w:val="both"/>
        <w:rPr>
          <w:rFonts w:ascii="AvenirNext LT Pro Regular" w:hAnsi="AvenirNext LT Pro Regular"/>
          <w:b/>
          <w:i/>
          <w:sz w:val="14"/>
          <w:szCs w:val="14"/>
          <w:lang w:val="en-GB"/>
        </w:rPr>
      </w:pPr>
      <w:r w:rsidRPr="007C486D">
        <w:rPr>
          <w:rFonts w:ascii="AvenirNext LT Pro Regular" w:eastAsia="AvenirNext LT Pro Regular" w:hAnsi="AvenirNext LT Pro Regular" w:cs="AvenirNext LT Pro Regular"/>
          <w:b/>
          <w:bCs/>
          <w:i/>
          <w:iCs/>
          <w:sz w:val="14"/>
          <w:szCs w:val="14"/>
          <w:bdr w:val="nil"/>
          <w:lang w:val="en-GB"/>
        </w:rPr>
        <w:t xml:space="preserve">Moritz Grossmann Uhren: </w:t>
      </w:r>
    </w:p>
    <w:p w14:paraId="4DE1AF95" w14:textId="77777777" w:rsidR="0095346E" w:rsidRPr="007C486D" w:rsidRDefault="0095346E" w:rsidP="0095346E">
      <w:pPr>
        <w:jc w:val="both"/>
        <w:rPr>
          <w:rFonts w:ascii="AvenirNext LT Pro Regular" w:hAnsi="AvenirNext LT Pro Regular"/>
          <w:i/>
          <w:sz w:val="14"/>
          <w:szCs w:val="14"/>
          <w:lang w:val="en-GB"/>
        </w:rPr>
      </w:pPr>
      <w:r w:rsidRPr="007C486D">
        <w:rPr>
          <w:rFonts w:ascii="AvenirNext LT Pro Regular" w:eastAsia="AvenirNext LT Pro Regular" w:hAnsi="AvenirNext LT Pro Regular" w:cs="AvenirNext LT Pro Regular"/>
          <w:i/>
          <w:iCs/>
          <w:sz w:val="14"/>
          <w:szCs w:val="14"/>
          <w:bdr w:val="nil"/>
          <w:lang w:val="en-GB"/>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sidRPr="007C486D">
        <w:rPr>
          <w:rFonts w:ascii="AvenirNext LT Pro Regular" w:eastAsia="AvenirNext LT Pro Regular" w:hAnsi="AvenirNext LT Pro Regular" w:cs="AvenirNext LT Pro Regular"/>
          <w:i/>
          <w:iCs/>
          <w:sz w:val="14"/>
          <w:szCs w:val="14"/>
          <w:bdr w:val="nil"/>
          <w:lang w:val="en-GB"/>
        </w:rPr>
        <w:t>Glashütte</w:t>
      </w:r>
      <w:proofErr w:type="spellEnd"/>
      <w:r w:rsidRPr="007C486D">
        <w:rPr>
          <w:rFonts w:ascii="AvenirNext LT Pro Regular" w:eastAsia="AvenirNext LT Pro Regular" w:hAnsi="AvenirNext LT Pro Regular" w:cs="AvenirNext LT Pro Regular"/>
          <w:i/>
          <w:iCs/>
          <w:sz w:val="14"/>
          <w:szCs w:val="14"/>
          <w:bdr w:val="nil"/>
          <w:lang w:val="en-GB"/>
        </w:rPr>
        <w:t>. Apart from building a respected watchmaking business, Grossmann was committed to political and social causes. He established the German School of Watchmaking in 1878. Moritz Grossmann passed away unexpectedly in 1885, after which his manufacture was liquidated.</w:t>
      </w:r>
    </w:p>
    <w:p w14:paraId="6619C0AB" w14:textId="77777777" w:rsidR="0095346E" w:rsidRPr="007C486D" w:rsidRDefault="0095346E" w:rsidP="0095346E">
      <w:pPr>
        <w:jc w:val="both"/>
        <w:rPr>
          <w:rFonts w:ascii="AvenirNext LT Pro Regular" w:hAnsi="AvenirNext LT Pro Regular"/>
          <w:bCs/>
          <w:i/>
          <w:sz w:val="14"/>
          <w:szCs w:val="14"/>
          <w:lang w:val="en-GB"/>
        </w:rPr>
      </w:pPr>
      <w:r w:rsidRPr="007C486D">
        <w:rPr>
          <w:rFonts w:ascii="AvenirNext LT Pro Regular" w:eastAsia="AvenirNext LT Pro Regular" w:hAnsi="AvenirNext LT Pro Regular" w:cs="AvenirNext LT Pro Regular"/>
          <w:bCs/>
          <w:i/>
          <w:iCs/>
          <w:sz w:val="14"/>
          <w:szCs w:val="14"/>
          <w:bdr w:val="nil"/>
          <w:lang w:val="en-GB"/>
        </w:rPr>
        <w:t xml:space="preserve">The spirit of Moritz Grossmann's horological traditions sprang back to life in 2008 when trained watchmaker Christine Hutter discovered the venerable </w:t>
      </w:r>
      <w:proofErr w:type="spellStart"/>
      <w:r w:rsidRPr="007C486D">
        <w:rPr>
          <w:rFonts w:ascii="AvenirNext LT Pro Regular" w:eastAsia="AvenirNext LT Pro Regular" w:hAnsi="AvenirNext LT Pro Regular" w:cs="AvenirNext LT Pro Regular"/>
          <w:bCs/>
          <w:i/>
          <w:iCs/>
          <w:sz w:val="14"/>
          <w:szCs w:val="14"/>
          <w:bdr w:val="nil"/>
          <w:lang w:val="en-GB"/>
        </w:rPr>
        <w:t>Glashütte</w:t>
      </w:r>
      <w:proofErr w:type="spellEnd"/>
      <w:r w:rsidRPr="007C486D">
        <w:rPr>
          <w:rFonts w:ascii="AvenirNext LT Pro Regular" w:eastAsia="AvenirNext LT Pro Regular" w:hAnsi="AvenirNext LT Pro Regular" w:cs="AvenirNext LT Pro Regular"/>
          <w:bCs/>
          <w:i/>
          <w:iCs/>
          <w:sz w:val="14"/>
          <w:szCs w:val="14"/>
          <w:bdr w:val="nil"/>
          <w:lang w:val="en-GB"/>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7C486D">
        <w:rPr>
          <w:rFonts w:ascii="AvenirNext LT Pro Regular" w:eastAsia="AvenirNext LT Pro Regular" w:hAnsi="AvenirNext LT Pro Regular" w:cs="AvenirNext LT Pro Regular"/>
          <w:bCs/>
          <w:i/>
          <w:iCs/>
          <w:sz w:val="14"/>
          <w:szCs w:val="14"/>
          <w:bdr w:val="nil"/>
          <w:lang w:val="en-GB"/>
        </w:rPr>
        <w:t>Glashütte</w:t>
      </w:r>
      <w:proofErr w:type="spellEnd"/>
      <w:r w:rsidRPr="007C486D">
        <w:rPr>
          <w:rFonts w:ascii="AvenirNext LT Pro Regular" w:eastAsia="AvenirNext LT Pro Regular" w:hAnsi="AvenirNext LT Pro Regular" w:cs="AvenirNext LT Pro Regular"/>
          <w:bCs/>
          <w:i/>
          <w:iCs/>
          <w:sz w:val="14"/>
          <w:szCs w:val="14"/>
          <w:bdr w:val="nil"/>
          <w:lang w:val="en-GB"/>
        </w:rPr>
        <w:t>.</w:t>
      </w:r>
    </w:p>
    <w:p w14:paraId="05013C49" w14:textId="77777777" w:rsidR="0095346E" w:rsidRPr="007C486D" w:rsidRDefault="0095346E" w:rsidP="0095346E">
      <w:pPr>
        <w:jc w:val="both"/>
        <w:rPr>
          <w:rFonts w:ascii="AvenirNext LT Pro Regular" w:hAnsi="AvenirNext LT Pro Regular"/>
          <w:i/>
          <w:sz w:val="14"/>
          <w:szCs w:val="14"/>
          <w:lang w:val="en-GB"/>
        </w:rPr>
      </w:pPr>
      <w:r w:rsidRPr="007C486D">
        <w:rPr>
          <w:rFonts w:ascii="AvenirNext LT Pro Regular" w:eastAsia="AvenirNext LT Pro Regular" w:hAnsi="AvenirNext LT Pro Regular" w:cs="AvenirNext LT Pro Regular"/>
          <w:i/>
          <w:iCs/>
          <w:sz w:val="14"/>
          <w:szCs w:val="14"/>
          <w:bdr w:val="nil"/>
          <w:lang w:val="en-GB"/>
        </w:rPr>
        <w:t xml:space="preserve">At Grossmann, gifted watchmakers are preserving traditions without copying historic timepieces. With innovation, superb craftsmanship, a combination of traditional and contemporary manufacturing methods as well as precious materials, they </w:t>
      </w:r>
      <w:r>
        <w:rPr>
          <w:rFonts w:ascii="AvenirNext LT Pro Regular" w:eastAsia="AvenirNext LT Pro Regular" w:hAnsi="AvenirNext LT Pro Regular" w:cs="AvenirNext LT Pro Regular"/>
          <w:i/>
          <w:iCs/>
          <w:sz w:val="14"/>
          <w:szCs w:val="14"/>
          <w:bdr w:val="nil"/>
          <w:lang w:val="en-GB"/>
        </w:rPr>
        <w:t>are</w:t>
      </w:r>
      <w:r w:rsidRPr="007C486D">
        <w:rPr>
          <w:rFonts w:ascii="AvenirNext LT Pro Regular" w:eastAsia="AvenirNext LT Pro Regular" w:hAnsi="AvenirNext LT Pro Regular" w:cs="AvenirNext LT Pro Regular"/>
          <w:i/>
          <w:iCs/>
          <w:sz w:val="14"/>
          <w:szCs w:val="14"/>
          <w:bdr w:val="nil"/>
          <w:lang w:val="en-GB"/>
        </w:rPr>
        <w:t xml:space="preserve"> </w:t>
      </w:r>
      <w:proofErr w:type="spellStart"/>
      <w:r>
        <w:rPr>
          <w:rFonts w:ascii="AvenirNext LT Pro Regular" w:eastAsia="AvenirNext LT Pro Regular" w:hAnsi="AvenirNext LT Pro Regular" w:cs="AvenirNext LT Pro Regular"/>
          <w:i/>
          <w:iCs/>
          <w:sz w:val="14"/>
          <w:szCs w:val="14"/>
          <w:bdr w:val="nil"/>
          <w:lang w:val="en-GB"/>
        </w:rPr>
        <w:t>celebrateing</w:t>
      </w:r>
      <w:proofErr w:type="spellEnd"/>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Pure watchmaking artistry since 1854</w:t>
      </w:r>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in</w:t>
      </w:r>
      <w:r w:rsidRPr="007C486D">
        <w:rPr>
          <w:rFonts w:ascii="AvenirNext LT Pro Regular" w:eastAsia="AvenirNext LT Pro Regular" w:hAnsi="AvenirNext LT Pro Regular" w:cs="AvenirNext LT Pro Regular"/>
          <w:i/>
          <w:iCs/>
          <w:sz w:val="14"/>
          <w:szCs w:val="14"/>
          <w:bdr w:val="nil"/>
          <w:lang w:val="en-GB"/>
        </w:rPr>
        <w:t xml:space="preserve"> their watches.  </w:t>
      </w:r>
    </w:p>
    <w:p w14:paraId="1B728008" w14:textId="77777777" w:rsidR="0095346E" w:rsidRPr="007C486D" w:rsidRDefault="0095346E" w:rsidP="0095346E">
      <w:pPr>
        <w:jc w:val="both"/>
        <w:rPr>
          <w:rFonts w:ascii="AvenirNext LT Pro Regular" w:hAnsi="AvenirNext LT Pro Regular"/>
          <w:lang w:val="en-GB"/>
        </w:rPr>
      </w:pPr>
    </w:p>
    <w:p w14:paraId="12A67FA3" w14:textId="77777777" w:rsidR="0095346E" w:rsidRPr="007C486D" w:rsidRDefault="0095346E" w:rsidP="0095346E">
      <w:pPr>
        <w:jc w:val="both"/>
        <w:rPr>
          <w:rFonts w:ascii="AvenirNext LT Pro Regular" w:hAnsi="AvenirNext LT Pro Regular"/>
          <w:sz w:val="22"/>
          <w:szCs w:val="22"/>
          <w:lang w:val="en-GB"/>
        </w:rPr>
      </w:pPr>
      <w:hyperlink r:id="rId7" w:history="1">
        <w:r w:rsidRPr="007C486D">
          <w:rPr>
            <w:rFonts w:ascii="AvenirNext LT Pro Regular" w:eastAsia="AvenirNext LT Pro Regular" w:hAnsi="AvenirNext LT Pro Regular" w:cs="AvenirNext LT Pro Regular"/>
            <w:color w:val="0000FF"/>
            <w:sz w:val="22"/>
            <w:szCs w:val="22"/>
            <w:u w:val="single"/>
            <w:bdr w:val="nil"/>
            <w:lang w:val="en-GB"/>
          </w:rPr>
          <w:t>www.grossmann-uhren.com</w:t>
        </w:r>
      </w:hyperlink>
    </w:p>
    <w:p w14:paraId="187B43B1" w14:textId="77777777" w:rsidR="0095346E" w:rsidRPr="007C486D" w:rsidRDefault="0095346E" w:rsidP="0095346E">
      <w:pPr>
        <w:jc w:val="both"/>
        <w:rPr>
          <w:rFonts w:ascii="AvenirNext LT Pro Regular" w:hAnsi="AvenirNext LT Pro Regular"/>
          <w:b/>
          <w:bCs/>
          <w:sz w:val="20"/>
          <w:szCs w:val="20"/>
          <w:lang w:val="en-GB"/>
        </w:rPr>
      </w:pPr>
    </w:p>
    <w:p w14:paraId="4BE0AEF9" w14:textId="77777777" w:rsidR="0095346E" w:rsidRDefault="0095346E" w:rsidP="0095346E">
      <w:pPr>
        <w:jc w:val="both"/>
        <w:rPr>
          <w:rFonts w:ascii="AvenirNext LT Pro Regular" w:hAnsi="AvenirNext LT Pro Regular"/>
          <w:b/>
          <w:bCs/>
          <w:sz w:val="20"/>
          <w:szCs w:val="20"/>
          <w:lang w:val="en-GB"/>
        </w:rPr>
      </w:pPr>
    </w:p>
    <w:p w14:paraId="3A8D66F3" w14:textId="77777777" w:rsidR="0095346E" w:rsidRDefault="0095346E" w:rsidP="0095346E">
      <w:pPr>
        <w:jc w:val="both"/>
        <w:rPr>
          <w:rFonts w:ascii="AvenirNext LT Pro Regular" w:hAnsi="AvenirNext LT Pro Regular"/>
          <w:b/>
          <w:bCs/>
          <w:sz w:val="20"/>
          <w:szCs w:val="20"/>
          <w:lang w:val="en-GB"/>
        </w:rPr>
      </w:pPr>
    </w:p>
    <w:p w14:paraId="5DB339C3" w14:textId="77777777" w:rsidR="0095346E" w:rsidRDefault="0095346E" w:rsidP="0095346E">
      <w:pPr>
        <w:jc w:val="both"/>
        <w:rPr>
          <w:rFonts w:ascii="AvenirNext LT Pro Regular" w:hAnsi="AvenirNext LT Pro Regular"/>
          <w:b/>
          <w:bCs/>
          <w:sz w:val="20"/>
          <w:szCs w:val="20"/>
          <w:lang w:val="en-GB"/>
        </w:rPr>
      </w:pPr>
    </w:p>
    <w:p w14:paraId="3FBBE49A" w14:textId="77777777" w:rsidR="0095346E" w:rsidRDefault="0095346E" w:rsidP="0095346E">
      <w:pPr>
        <w:jc w:val="both"/>
        <w:rPr>
          <w:rFonts w:ascii="AvenirNext LT Pro Regular" w:hAnsi="AvenirNext LT Pro Regular"/>
          <w:b/>
          <w:bCs/>
          <w:sz w:val="20"/>
          <w:szCs w:val="20"/>
          <w:lang w:val="en-GB"/>
        </w:rPr>
      </w:pPr>
    </w:p>
    <w:p w14:paraId="1201F3B7" w14:textId="77777777" w:rsidR="0095346E" w:rsidRDefault="0095346E" w:rsidP="0095346E">
      <w:pPr>
        <w:jc w:val="both"/>
        <w:rPr>
          <w:rFonts w:ascii="AvenirNext LT Pro Regular" w:hAnsi="AvenirNext LT Pro Regular"/>
          <w:b/>
          <w:bCs/>
          <w:sz w:val="20"/>
          <w:szCs w:val="20"/>
          <w:lang w:val="en-GB"/>
        </w:rPr>
      </w:pPr>
    </w:p>
    <w:p w14:paraId="6FEF6FED" w14:textId="77777777" w:rsidR="0095346E" w:rsidRDefault="0095346E" w:rsidP="0095346E">
      <w:pPr>
        <w:jc w:val="both"/>
        <w:rPr>
          <w:rFonts w:ascii="AvenirNext LT Pro Regular" w:hAnsi="AvenirNext LT Pro Regular"/>
          <w:b/>
          <w:bCs/>
          <w:sz w:val="20"/>
          <w:szCs w:val="20"/>
          <w:lang w:val="en-GB"/>
        </w:rPr>
      </w:pPr>
      <w:bookmarkStart w:id="0" w:name="_GoBack"/>
      <w:bookmarkEnd w:id="0"/>
    </w:p>
    <w:p w14:paraId="263DBDF7" w14:textId="77777777" w:rsidR="0095346E" w:rsidRDefault="0095346E" w:rsidP="0095346E">
      <w:pPr>
        <w:jc w:val="both"/>
        <w:rPr>
          <w:rFonts w:ascii="AvenirNext LT Pro Regular" w:hAnsi="AvenirNext LT Pro Regular"/>
          <w:b/>
          <w:bCs/>
          <w:sz w:val="20"/>
          <w:szCs w:val="20"/>
          <w:lang w:val="en-GB"/>
        </w:rPr>
      </w:pPr>
    </w:p>
    <w:p w14:paraId="29AD744A" w14:textId="77777777" w:rsidR="0095346E" w:rsidRPr="007C486D" w:rsidRDefault="0095346E" w:rsidP="0095346E">
      <w:pPr>
        <w:jc w:val="both"/>
        <w:rPr>
          <w:rFonts w:ascii="AvenirNext LT Pro Regular" w:hAnsi="AvenirNext LT Pro Regular"/>
          <w:b/>
          <w:bCs/>
          <w:sz w:val="20"/>
          <w:szCs w:val="20"/>
          <w:lang w:val="en-GB"/>
        </w:rPr>
      </w:pPr>
    </w:p>
    <w:p w14:paraId="05A55FDA" w14:textId="77777777" w:rsidR="0095346E" w:rsidRPr="007C486D" w:rsidRDefault="0095346E" w:rsidP="0095346E">
      <w:pPr>
        <w:rPr>
          <w:rFonts w:ascii="AvenirNext LT Pro Regular" w:hAnsi="AvenirNext LT Pro Regular"/>
          <w:b/>
          <w:bCs/>
          <w:sz w:val="20"/>
          <w:szCs w:val="20"/>
          <w:lang w:val="en-GB"/>
        </w:rPr>
      </w:pPr>
      <w:r w:rsidRPr="007C486D">
        <w:rPr>
          <w:rFonts w:ascii="AvenirNext LT Pro Regular" w:eastAsia="AvenirNext LT Pro Regular" w:hAnsi="AvenirNext LT Pro Regular" w:cs="AvenirNext LT Pro Regular"/>
          <w:b/>
          <w:bCs/>
          <w:sz w:val="20"/>
          <w:szCs w:val="20"/>
          <w:bdr w:val="nil"/>
          <w:lang w:val="en-GB"/>
        </w:rPr>
        <w:t>For further information and high-resolution images, please contact:</w:t>
      </w:r>
    </w:p>
    <w:p w14:paraId="345AD60F" w14:textId="77777777" w:rsidR="0095346E" w:rsidRPr="007C486D" w:rsidRDefault="0095346E" w:rsidP="0095346E">
      <w:pPr>
        <w:jc w:val="both"/>
        <w:rPr>
          <w:rFonts w:ascii="AvenirNext LT Pro Regular" w:hAnsi="AvenirNext LT Pro Regular"/>
          <w:b/>
          <w:sz w:val="20"/>
          <w:szCs w:val="20"/>
          <w:lang w:val="en-GB"/>
        </w:rPr>
      </w:pPr>
    </w:p>
    <w:p w14:paraId="1BD2C934" w14:textId="77777777" w:rsidR="0095346E" w:rsidRPr="007C486D" w:rsidRDefault="0095346E" w:rsidP="0095346E">
      <w:pPr>
        <w:jc w:val="both"/>
        <w:rPr>
          <w:rFonts w:ascii="AvenirNext LT Pro Regular" w:hAnsi="AvenirNext LT Pro Regular"/>
          <w:sz w:val="20"/>
          <w:szCs w:val="20"/>
          <w:lang w:val="en-GB"/>
        </w:rPr>
      </w:pPr>
    </w:p>
    <w:p w14:paraId="007D9BDF" w14:textId="77777777" w:rsidR="0095346E" w:rsidRPr="007C486D" w:rsidRDefault="0095346E" w:rsidP="0095346E">
      <w:pPr>
        <w:jc w:val="both"/>
        <w:rPr>
          <w:rFonts w:ascii="AvenirNext LT Pro Regular" w:hAnsi="AvenirNext LT Pro Regular"/>
          <w:sz w:val="20"/>
          <w:szCs w:val="20"/>
          <w:lang w:val="en-GB"/>
        </w:rPr>
      </w:pPr>
      <w:r w:rsidRPr="007C486D">
        <w:rPr>
          <w:rFonts w:ascii="AvenirNext LT Pro Regular" w:eastAsia="AvenirNext LT Pro Regular" w:hAnsi="AvenirNext LT Pro Regular" w:cs="AvenirNext LT Pro Regular"/>
          <w:sz w:val="20"/>
          <w:szCs w:val="20"/>
          <w:bdr w:val="nil"/>
          <w:lang w:val="en-GB"/>
        </w:rPr>
        <w:t>GROSSMANN UHREN GmbH</w:t>
      </w:r>
    </w:p>
    <w:p w14:paraId="6DD17487" w14:textId="77777777" w:rsidR="0095346E" w:rsidRPr="007C486D" w:rsidRDefault="0095346E" w:rsidP="0095346E">
      <w:pPr>
        <w:jc w:val="both"/>
        <w:rPr>
          <w:rFonts w:ascii="AvenirNext LT Pro Regular" w:hAnsi="AvenirNext LT Pro Regular"/>
          <w:sz w:val="20"/>
          <w:szCs w:val="20"/>
          <w:lang w:val="en-GB"/>
        </w:rPr>
      </w:pPr>
      <w:r w:rsidRPr="007C486D">
        <w:rPr>
          <w:rFonts w:ascii="AvenirNext LT Pro Regular" w:eastAsia="AvenirNext LT Pro Regular" w:hAnsi="AvenirNext LT Pro Regular" w:cs="AvenirNext LT Pro Regular"/>
          <w:sz w:val="20"/>
          <w:szCs w:val="20"/>
          <w:bdr w:val="nil"/>
          <w:lang w:val="en-GB"/>
        </w:rPr>
        <w:t>Rainer Kern – Director of Communication</w:t>
      </w:r>
    </w:p>
    <w:p w14:paraId="177059EE" w14:textId="77777777" w:rsidR="0095346E" w:rsidRPr="0095346E" w:rsidRDefault="0095346E" w:rsidP="0095346E">
      <w:pPr>
        <w:jc w:val="both"/>
        <w:rPr>
          <w:rFonts w:ascii="AvenirNext LT Pro Regular" w:hAnsi="AvenirNext LT Pro Regular"/>
          <w:sz w:val="20"/>
          <w:szCs w:val="20"/>
        </w:rPr>
      </w:pPr>
      <w:r w:rsidRPr="0095346E">
        <w:rPr>
          <w:rFonts w:ascii="AvenirNext LT Pro Regular" w:eastAsia="AvenirNext LT Pro Regular" w:hAnsi="AvenirNext LT Pro Regular" w:cs="AvenirNext LT Pro Regular"/>
          <w:sz w:val="20"/>
          <w:szCs w:val="20"/>
          <w:bdr w:val="nil"/>
        </w:rPr>
        <w:t>Uferstr. 1</w:t>
      </w:r>
    </w:p>
    <w:p w14:paraId="4C36BA47" w14:textId="77777777" w:rsidR="0095346E" w:rsidRPr="0095346E" w:rsidRDefault="0095346E" w:rsidP="0095346E">
      <w:pPr>
        <w:jc w:val="both"/>
        <w:rPr>
          <w:rFonts w:ascii="AvenirNext LT Pro Regular" w:hAnsi="AvenirNext LT Pro Regular"/>
          <w:sz w:val="20"/>
          <w:szCs w:val="20"/>
        </w:rPr>
      </w:pPr>
      <w:r w:rsidRPr="0095346E">
        <w:rPr>
          <w:rFonts w:ascii="AvenirNext LT Pro Regular" w:eastAsia="AvenirNext LT Pro Regular" w:hAnsi="AvenirNext LT Pro Regular" w:cs="AvenirNext LT Pro Regular"/>
          <w:sz w:val="20"/>
          <w:szCs w:val="20"/>
          <w:bdr w:val="nil"/>
        </w:rPr>
        <w:t>01768 Glashütte</w:t>
      </w:r>
    </w:p>
    <w:p w14:paraId="6A95262F" w14:textId="77777777" w:rsidR="0095346E" w:rsidRPr="0095346E" w:rsidRDefault="0095346E" w:rsidP="0095346E">
      <w:pPr>
        <w:jc w:val="both"/>
        <w:rPr>
          <w:rFonts w:ascii="AvenirNext LT Pro Regular" w:hAnsi="AvenirNext LT Pro Regular"/>
          <w:sz w:val="20"/>
          <w:szCs w:val="20"/>
        </w:rPr>
      </w:pPr>
      <w:r w:rsidRPr="0095346E">
        <w:rPr>
          <w:rFonts w:ascii="AvenirNext LT Pro Regular" w:eastAsia="AvenirNext LT Pro Regular" w:hAnsi="AvenirNext LT Pro Regular" w:cs="AvenirNext LT Pro Regular"/>
          <w:sz w:val="20"/>
          <w:szCs w:val="20"/>
          <w:bdr w:val="nil"/>
        </w:rPr>
        <w:t>Tel: 0049-35053-320020</w:t>
      </w:r>
    </w:p>
    <w:p w14:paraId="76E6C498" w14:textId="77777777" w:rsidR="0095346E" w:rsidRPr="0095346E" w:rsidRDefault="0095346E" w:rsidP="0095346E">
      <w:pPr>
        <w:jc w:val="both"/>
        <w:rPr>
          <w:rFonts w:ascii="AvenirNext LT Pro Regular" w:hAnsi="AvenirNext LT Pro Regular"/>
          <w:sz w:val="20"/>
          <w:szCs w:val="20"/>
        </w:rPr>
      </w:pPr>
      <w:r w:rsidRPr="0095346E">
        <w:rPr>
          <w:rFonts w:ascii="AvenirNext LT Pro Regular" w:eastAsia="AvenirNext LT Pro Regular" w:hAnsi="AvenirNext LT Pro Regular" w:cs="AvenirNext LT Pro Regular"/>
          <w:sz w:val="20"/>
          <w:szCs w:val="20"/>
          <w:bdr w:val="nil"/>
        </w:rPr>
        <w:t>Fax: 0049-35053-320099</w:t>
      </w:r>
    </w:p>
    <w:p w14:paraId="0E10EE2A" w14:textId="77777777" w:rsidR="0095346E" w:rsidRPr="0095346E" w:rsidRDefault="0095346E" w:rsidP="0095346E">
      <w:pPr>
        <w:jc w:val="both"/>
        <w:rPr>
          <w:rStyle w:val="Hyperlink"/>
          <w:rFonts w:ascii="AvenirNext LT Pro Regular" w:hAnsi="AvenirNext LT Pro Regular"/>
          <w:sz w:val="20"/>
          <w:szCs w:val="20"/>
        </w:rPr>
      </w:pPr>
      <w:hyperlink r:id="rId8" w:history="1">
        <w:r w:rsidRPr="0095346E">
          <w:rPr>
            <w:rFonts w:ascii="AvenirNext LT Pro Regular" w:eastAsia="AvenirNext LT Pro Regular" w:hAnsi="AvenirNext LT Pro Regular" w:cs="AvenirNext LT Pro Regular"/>
            <w:color w:val="0000FF"/>
            <w:sz w:val="20"/>
            <w:szCs w:val="20"/>
            <w:u w:val="single"/>
            <w:bdr w:val="nil"/>
          </w:rPr>
          <w:t>rainer.kern@grossmann-uhren.com</w:t>
        </w:r>
      </w:hyperlink>
    </w:p>
    <w:p w14:paraId="2051473D" w14:textId="4B2AF778" w:rsidR="00623FE5" w:rsidRPr="00BD1ADE" w:rsidRDefault="00623FE5">
      <w:pPr>
        <w:rPr>
          <w:rStyle w:val="Hyperlink"/>
          <w:rFonts w:ascii="AvenirNext LT Pro Regular" w:hAnsi="AvenirNext LT Pro Regular"/>
          <w:sz w:val="20"/>
          <w:szCs w:val="20"/>
        </w:rPr>
      </w:pPr>
    </w:p>
    <w:p w14:paraId="7BAB2BDE" w14:textId="77777777" w:rsidR="00E16693" w:rsidRDefault="00E16693" w:rsidP="00F7720A">
      <w:pPr>
        <w:tabs>
          <w:tab w:val="left" w:pos="7770"/>
        </w:tabs>
        <w:rPr>
          <w:rFonts w:ascii="AvenirNext LT Pro Regular" w:hAnsi="AvenirNext LT Pro Regular"/>
          <w:sz w:val="20"/>
          <w:szCs w:val="20"/>
        </w:rPr>
      </w:pPr>
    </w:p>
    <w:p w14:paraId="7FE77C0D" w14:textId="3B826665" w:rsidR="00623FE5" w:rsidRDefault="00E16693" w:rsidP="00F7720A">
      <w:pPr>
        <w:tabs>
          <w:tab w:val="left" w:pos="7770"/>
        </w:tabs>
        <w:rPr>
          <w:rFonts w:ascii="AvenirNext LT Pro Regular" w:hAnsi="AvenirNext LT Pro Regular"/>
          <w:sz w:val="20"/>
          <w:szCs w:val="20"/>
        </w:rPr>
      </w:pPr>
      <w:r>
        <w:rPr>
          <w:rFonts w:ascii="AvenirNext LT Pro Regular" w:hAnsi="AvenirNext LT Pro Regular"/>
          <w:noProof/>
          <w:sz w:val="20"/>
          <w:szCs w:val="20"/>
        </w:rPr>
        <w:drawing>
          <wp:inline distT="0" distB="0" distL="0" distR="0" wp14:anchorId="0B9644FD" wp14:editId="2DE798D8">
            <wp:extent cx="2520000" cy="336178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BENU_Tourb_FR_1_web.jpg"/>
                    <pic:cNvPicPr/>
                  </pic:nvPicPr>
                  <pic:blipFill>
                    <a:blip r:embed="rId9">
                      <a:extLst>
                        <a:ext uri="{28A0092B-C50C-407E-A947-70E740481C1C}">
                          <a14:useLocalDpi xmlns:a14="http://schemas.microsoft.com/office/drawing/2010/main" val="0"/>
                        </a:ext>
                      </a:extLst>
                    </a:blip>
                    <a:stretch>
                      <a:fillRect/>
                    </a:stretch>
                  </pic:blipFill>
                  <pic:spPr>
                    <a:xfrm>
                      <a:off x="0" y="0"/>
                      <a:ext cx="2520000" cy="3361787"/>
                    </a:xfrm>
                    <a:prstGeom prst="rect">
                      <a:avLst/>
                    </a:prstGeom>
                  </pic:spPr>
                </pic:pic>
              </a:graphicData>
            </a:graphic>
          </wp:inline>
        </w:drawing>
      </w:r>
      <w:r>
        <w:rPr>
          <w:rFonts w:ascii="AvenirNext LT Pro Regular" w:hAnsi="AvenirNext LT Pro Regular"/>
          <w:sz w:val="20"/>
          <w:szCs w:val="20"/>
        </w:rPr>
        <w:t xml:space="preserve">   </w:t>
      </w:r>
      <w:r>
        <w:rPr>
          <w:rFonts w:ascii="AvenirNext LT Pro Regular" w:hAnsi="AvenirNext LT Pro Regular"/>
          <w:noProof/>
          <w:sz w:val="20"/>
          <w:szCs w:val="20"/>
        </w:rPr>
        <w:drawing>
          <wp:inline distT="0" distB="0" distL="0" distR="0" wp14:anchorId="149EF7BA" wp14:editId="12DD7704">
            <wp:extent cx="2520000" cy="336178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BENU_Tourb_FR_2_web.jpg"/>
                    <pic:cNvPicPr/>
                  </pic:nvPicPr>
                  <pic:blipFill>
                    <a:blip r:embed="rId10">
                      <a:extLst>
                        <a:ext uri="{28A0092B-C50C-407E-A947-70E740481C1C}">
                          <a14:useLocalDpi xmlns:a14="http://schemas.microsoft.com/office/drawing/2010/main" val="0"/>
                        </a:ext>
                      </a:extLst>
                    </a:blip>
                    <a:stretch>
                      <a:fillRect/>
                    </a:stretch>
                  </pic:blipFill>
                  <pic:spPr>
                    <a:xfrm>
                      <a:off x="0" y="0"/>
                      <a:ext cx="2520000" cy="3361787"/>
                    </a:xfrm>
                    <a:prstGeom prst="rect">
                      <a:avLst/>
                    </a:prstGeom>
                  </pic:spPr>
                </pic:pic>
              </a:graphicData>
            </a:graphic>
          </wp:inline>
        </w:drawing>
      </w:r>
      <w:r w:rsidR="00F7720A">
        <w:rPr>
          <w:rFonts w:ascii="AvenirNext LT Pro Regular" w:hAnsi="AvenirNext LT Pro Regular"/>
          <w:sz w:val="20"/>
          <w:szCs w:val="20"/>
        </w:rPr>
        <w:tab/>
      </w:r>
    </w:p>
    <w:p w14:paraId="552B9471" w14:textId="3488CAD3" w:rsidR="00E16693" w:rsidRPr="0095346E" w:rsidRDefault="00E16693" w:rsidP="00E16693">
      <w:pPr>
        <w:tabs>
          <w:tab w:val="center" w:pos="1985"/>
          <w:tab w:val="center" w:pos="6096"/>
        </w:tabs>
        <w:rPr>
          <w:rFonts w:ascii="AvenirNext LT Pro Regular" w:hAnsi="AvenirNext LT Pro Regular"/>
          <w:sz w:val="20"/>
          <w:szCs w:val="20"/>
          <w:lang w:val="en-US"/>
        </w:rPr>
      </w:pPr>
      <w:r>
        <w:rPr>
          <w:rFonts w:ascii="AvenirNext LT Pro Regular" w:hAnsi="AvenirNext LT Pro Regular"/>
          <w:sz w:val="20"/>
          <w:szCs w:val="20"/>
        </w:rPr>
        <w:tab/>
      </w:r>
      <w:r w:rsidRPr="0095346E">
        <w:rPr>
          <w:rFonts w:ascii="AvenirNext LT Pro Regular" w:hAnsi="AvenirNext LT Pro Regular"/>
          <w:sz w:val="20"/>
          <w:szCs w:val="20"/>
          <w:lang w:val="en-US"/>
        </w:rPr>
        <w:t xml:space="preserve">BENU Tourbillon  </w:t>
      </w:r>
      <w:r w:rsidRPr="0095346E">
        <w:rPr>
          <w:rFonts w:ascii="AvenirNext LT Pro Regular" w:hAnsi="AvenirNext LT Pro Regular"/>
          <w:sz w:val="20"/>
          <w:szCs w:val="20"/>
          <w:lang w:val="en-US"/>
        </w:rPr>
        <w:tab/>
        <w:t>BENU Tourbillon</w:t>
      </w:r>
      <w:r w:rsidRPr="0095346E">
        <w:rPr>
          <w:rFonts w:ascii="AvenirNext LT Pro Regular" w:hAnsi="AvenirNext LT Pro Regular"/>
          <w:sz w:val="20"/>
          <w:szCs w:val="20"/>
          <w:lang w:val="en-US"/>
        </w:rPr>
        <w:br/>
      </w:r>
      <w:r w:rsidRPr="0095346E">
        <w:rPr>
          <w:rFonts w:ascii="AvenirNext LT Pro Regular" w:hAnsi="AvenirNext LT Pro Regular"/>
          <w:sz w:val="20"/>
          <w:szCs w:val="20"/>
          <w:lang w:val="en-US"/>
        </w:rPr>
        <w:tab/>
      </w:r>
      <w:r w:rsidR="0095346E" w:rsidRPr="0095346E">
        <w:rPr>
          <w:rFonts w:ascii="AvenirNext LT Pro Regular" w:hAnsi="AvenirNext LT Pro Regular"/>
          <w:sz w:val="20"/>
          <w:szCs w:val="20"/>
          <w:lang w:val="en-US"/>
        </w:rPr>
        <w:t>showing the extension of the minute hand</w:t>
      </w:r>
      <w:r w:rsidRPr="0095346E">
        <w:rPr>
          <w:rFonts w:ascii="AvenirNext LT Pro Regular" w:hAnsi="AvenirNext LT Pro Regular"/>
          <w:sz w:val="20"/>
          <w:szCs w:val="20"/>
          <w:lang w:val="en-US"/>
        </w:rPr>
        <w:t xml:space="preserve"> </w:t>
      </w:r>
      <w:r w:rsidRPr="0095346E">
        <w:rPr>
          <w:rFonts w:ascii="AvenirNext LT Pro Regular" w:hAnsi="AvenirNext LT Pro Regular"/>
          <w:sz w:val="20"/>
          <w:szCs w:val="20"/>
          <w:lang w:val="en-US"/>
        </w:rPr>
        <w:tab/>
      </w:r>
      <w:r w:rsidR="0095346E" w:rsidRPr="0095346E">
        <w:rPr>
          <w:rFonts w:ascii="AvenirNext LT Pro Regular" w:hAnsi="AvenirNext LT Pro Regular"/>
          <w:sz w:val="20"/>
          <w:szCs w:val="20"/>
          <w:lang w:val="en-US"/>
        </w:rPr>
        <w:t>showing the extension of the minute hand</w:t>
      </w:r>
      <w:r w:rsidRPr="0095346E">
        <w:rPr>
          <w:rFonts w:ascii="AvenirNext LT Pro Regular" w:hAnsi="AvenirNext LT Pro Regular"/>
          <w:sz w:val="20"/>
          <w:szCs w:val="20"/>
          <w:lang w:val="en-US"/>
        </w:rPr>
        <w:br/>
      </w:r>
      <w:r w:rsidRPr="0095346E">
        <w:rPr>
          <w:rFonts w:ascii="AvenirNext LT Pro Regular" w:hAnsi="AvenirNext LT Pro Regular"/>
          <w:sz w:val="20"/>
          <w:szCs w:val="20"/>
          <w:lang w:val="en-US"/>
        </w:rPr>
        <w:tab/>
      </w:r>
      <w:r w:rsidR="0095346E" w:rsidRPr="0095346E">
        <w:rPr>
          <w:rFonts w:ascii="AvenirNext LT Pro Regular" w:hAnsi="AvenirNext LT Pro Regular"/>
          <w:sz w:val="20"/>
          <w:szCs w:val="20"/>
          <w:lang w:val="en-US"/>
        </w:rPr>
        <w:t>outside the second scale</w:t>
      </w:r>
      <w:r w:rsidRPr="0095346E">
        <w:rPr>
          <w:rFonts w:ascii="AvenirNext LT Pro Regular" w:hAnsi="AvenirNext LT Pro Regular"/>
          <w:sz w:val="20"/>
          <w:szCs w:val="20"/>
          <w:lang w:val="en-US"/>
        </w:rPr>
        <w:tab/>
      </w:r>
      <w:r w:rsidR="0095346E">
        <w:rPr>
          <w:rFonts w:ascii="AvenirNext LT Pro Regular" w:hAnsi="AvenirNext LT Pro Regular"/>
          <w:sz w:val="20"/>
          <w:szCs w:val="20"/>
          <w:lang w:val="en-US"/>
        </w:rPr>
        <w:t>inside</w:t>
      </w:r>
      <w:r w:rsidR="0095346E" w:rsidRPr="0095346E">
        <w:rPr>
          <w:rFonts w:ascii="AvenirNext LT Pro Regular" w:hAnsi="AvenirNext LT Pro Regular"/>
          <w:sz w:val="20"/>
          <w:szCs w:val="20"/>
          <w:lang w:val="en-US"/>
        </w:rPr>
        <w:t xml:space="preserve"> the second scale</w:t>
      </w:r>
    </w:p>
    <w:p w14:paraId="721983BA" w14:textId="77777777" w:rsidR="0095346E" w:rsidRPr="0095346E" w:rsidRDefault="0095346E" w:rsidP="00E16693">
      <w:pPr>
        <w:tabs>
          <w:tab w:val="center" w:pos="1985"/>
          <w:tab w:val="center" w:pos="6096"/>
        </w:tabs>
        <w:rPr>
          <w:rFonts w:ascii="AvenirNext LT Pro Regular" w:hAnsi="AvenirNext LT Pro Regular"/>
          <w:sz w:val="20"/>
          <w:szCs w:val="20"/>
          <w:lang w:val="en-US"/>
        </w:rPr>
      </w:pPr>
    </w:p>
    <w:p w14:paraId="57DF66E3" w14:textId="77777777" w:rsidR="0095346E" w:rsidRPr="0095346E" w:rsidRDefault="0095346E" w:rsidP="00E16693">
      <w:pPr>
        <w:tabs>
          <w:tab w:val="center" w:pos="1985"/>
          <w:tab w:val="center" w:pos="6096"/>
        </w:tabs>
        <w:rPr>
          <w:rFonts w:ascii="AvenirNext LT Pro Regular" w:hAnsi="AvenirNext LT Pro Regular"/>
          <w:sz w:val="20"/>
          <w:szCs w:val="20"/>
          <w:lang w:val="en-US"/>
        </w:rPr>
      </w:pPr>
    </w:p>
    <w:p w14:paraId="307AF718" w14:textId="78662B62" w:rsidR="0095346E" w:rsidRPr="00F7720A" w:rsidRDefault="0095346E" w:rsidP="0095346E">
      <w:pPr>
        <w:tabs>
          <w:tab w:val="center" w:pos="1985"/>
          <w:tab w:val="center" w:pos="6096"/>
        </w:tabs>
        <w:jc w:val="center"/>
        <w:rPr>
          <w:rFonts w:ascii="AvenirNext LT Pro Regular" w:hAnsi="AvenirNext LT Pro Regular"/>
          <w:sz w:val="20"/>
          <w:szCs w:val="20"/>
        </w:rPr>
      </w:pPr>
      <w:r>
        <w:rPr>
          <w:rFonts w:ascii="AvenirNext LT Pro Regular" w:hAnsi="AvenirNext LT Pro Regular"/>
          <w:noProof/>
          <w:sz w:val="20"/>
          <w:szCs w:val="20"/>
        </w:rPr>
        <w:drawing>
          <wp:inline distT="0" distB="0" distL="0" distR="0" wp14:anchorId="029B3C60" wp14:editId="1867E666">
            <wp:extent cx="2159033" cy="10800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ropean-patent-office.jpg"/>
                    <pic:cNvPicPr/>
                  </pic:nvPicPr>
                  <pic:blipFill>
                    <a:blip r:embed="rId11">
                      <a:extLst>
                        <a:ext uri="{28A0092B-C50C-407E-A947-70E740481C1C}">
                          <a14:useLocalDpi xmlns:a14="http://schemas.microsoft.com/office/drawing/2010/main" val="0"/>
                        </a:ext>
                      </a:extLst>
                    </a:blip>
                    <a:stretch>
                      <a:fillRect/>
                    </a:stretch>
                  </pic:blipFill>
                  <pic:spPr>
                    <a:xfrm>
                      <a:off x="0" y="0"/>
                      <a:ext cx="2159033" cy="1080000"/>
                    </a:xfrm>
                    <a:prstGeom prst="rect">
                      <a:avLst/>
                    </a:prstGeom>
                  </pic:spPr>
                </pic:pic>
              </a:graphicData>
            </a:graphic>
          </wp:inline>
        </w:drawing>
      </w:r>
    </w:p>
    <w:sectPr w:rsidR="0095346E" w:rsidRPr="00F7720A" w:rsidSect="00954314">
      <w:headerReference w:type="default" r:id="rId12"/>
      <w:footerReference w:type="default" r:id="rId13"/>
      <w:headerReference w:type="first" r:id="rId14"/>
      <w:footerReference w:type="first" r:id="rId15"/>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7F4E8C" w14:textId="4E38FF6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E16693">
                            <w:rPr>
                              <w:rFonts w:ascii="Arial" w:hAnsi="Arial" w:cs="Arial"/>
                              <w:color w:val="595959"/>
                              <w:sz w:val="16"/>
                            </w:rPr>
                            <w:t xml:space="preserve">EU Patent </w:t>
                          </w:r>
                          <w:r w:rsidR="00E16693" w:rsidRPr="00E16693">
                            <w:rPr>
                              <w:rFonts w:ascii="Arial" w:hAnsi="Arial" w:cs="Arial"/>
                              <w:color w:val="595959"/>
                              <w:sz w:val="16"/>
                            </w:rPr>
                            <w:t>2874021</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02562" w:rsidRPr="0040256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02562" w:rsidRPr="00402562">
                            <w:rPr>
                              <w:rFonts w:ascii="Arial" w:hAnsi="Arial" w:cs="Arial"/>
                              <w:noProof/>
                              <w:color w:val="595959"/>
                              <w:sz w:val="16"/>
                            </w:rPr>
                            <w:t>2</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4E38FF69"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E16693">
                      <w:rPr>
                        <w:rFonts w:ascii="Arial" w:hAnsi="Arial" w:cs="Arial"/>
                        <w:color w:val="595959"/>
                        <w:sz w:val="16"/>
                      </w:rPr>
                      <w:t xml:space="preserve">EU Patent </w:t>
                    </w:r>
                    <w:r w:rsidR="00E16693" w:rsidRPr="00E16693">
                      <w:rPr>
                        <w:rFonts w:ascii="Arial" w:hAnsi="Arial" w:cs="Arial"/>
                        <w:color w:val="595959"/>
                        <w:sz w:val="16"/>
                      </w:rPr>
                      <w:t>2874021</w:t>
                    </w:r>
                    <w:r w:rsidR="006F1671" w:rsidRPr="006F124B">
                      <w:rPr>
                        <w:rFonts w:ascii="Arial" w:hAnsi="Arial" w:cs="Arial"/>
                        <w:color w:val="595959"/>
                        <w:sz w:val="16"/>
                      </w:rPr>
                      <w:tab/>
                    </w:r>
                    <w:r w:rsidR="00BD1ADE">
                      <w:rPr>
                        <w:rFonts w:ascii="Arial" w:hAnsi="Arial" w:cs="Arial"/>
                        <w:color w:val="595959"/>
                        <w:sz w:val="16"/>
                      </w:rPr>
                      <w:t>02/2018</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402562" w:rsidRPr="00402562">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402562" w:rsidRPr="00402562">
                      <w:rPr>
                        <w:rFonts w:ascii="Arial" w:hAnsi="Arial" w:cs="Arial"/>
                        <w:noProof/>
                        <w:color w:val="595959"/>
                        <w:sz w:val="16"/>
                      </w:rPr>
                      <w:t>2</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D0316"/>
    <w:rsid w:val="001D0895"/>
    <w:rsid w:val="001F33E9"/>
    <w:rsid w:val="00207173"/>
    <w:rsid w:val="00213E27"/>
    <w:rsid w:val="00215433"/>
    <w:rsid w:val="00224DFD"/>
    <w:rsid w:val="00231305"/>
    <w:rsid w:val="00233949"/>
    <w:rsid w:val="002345BF"/>
    <w:rsid w:val="00236932"/>
    <w:rsid w:val="00242F49"/>
    <w:rsid w:val="0025287D"/>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2562"/>
    <w:rsid w:val="0040389B"/>
    <w:rsid w:val="004324B3"/>
    <w:rsid w:val="004417DB"/>
    <w:rsid w:val="00444EC4"/>
    <w:rsid w:val="0045376D"/>
    <w:rsid w:val="0049362F"/>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96884"/>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10CF"/>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346E"/>
    <w:rsid w:val="00954314"/>
    <w:rsid w:val="00960A33"/>
    <w:rsid w:val="00966619"/>
    <w:rsid w:val="00971CA0"/>
    <w:rsid w:val="009839BB"/>
    <w:rsid w:val="00985A82"/>
    <w:rsid w:val="009866E8"/>
    <w:rsid w:val="009A576D"/>
    <w:rsid w:val="009A72A1"/>
    <w:rsid w:val="009B4947"/>
    <w:rsid w:val="009C465A"/>
    <w:rsid w:val="009C4FA3"/>
    <w:rsid w:val="009C677B"/>
    <w:rsid w:val="009C6BFD"/>
    <w:rsid w:val="009D3BBE"/>
    <w:rsid w:val="009D3CFB"/>
    <w:rsid w:val="009D449C"/>
    <w:rsid w:val="009E4331"/>
    <w:rsid w:val="009E79D3"/>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D1ADE"/>
    <w:rsid w:val="00BE29F8"/>
    <w:rsid w:val="00BE70D1"/>
    <w:rsid w:val="00C07C29"/>
    <w:rsid w:val="00C12014"/>
    <w:rsid w:val="00C12596"/>
    <w:rsid w:val="00C21245"/>
    <w:rsid w:val="00C3044F"/>
    <w:rsid w:val="00C31849"/>
    <w:rsid w:val="00C35F4E"/>
    <w:rsid w:val="00C40087"/>
    <w:rsid w:val="00C41F97"/>
    <w:rsid w:val="00C46764"/>
    <w:rsid w:val="00C478DA"/>
    <w:rsid w:val="00C61CC1"/>
    <w:rsid w:val="00C647CF"/>
    <w:rsid w:val="00C674AE"/>
    <w:rsid w:val="00C67AFA"/>
    <w:rsid w:val="00C7215C"/>
    <w:rsid w:val="00C74F2C"/>
    <w:rsid w:val="00C81F62"/>
    <w:rsid w:val="00C8402F"/>
    <w:rsid w:val="00CB3FA7"/>
    <w:rsid w:val="00CD15EA"/>
    <w:rsid w:val="00CD653C"/>
    <w:rsid w:val="00D03A70"/>
    <w:rsid w:val="00D045E3"/>
    <w:rsid w:val="00D2080A"/>
    <w:rsid w:val="00D23FB2"/>
    <w:rsid w:val="00D27AD9"/>
    <w:rsid w:val="00D31CBA"/>
    <w:rsid w:val="00D34708"/>
    <w:rsid w:val="00D36EF2"/>
    <w:rsid w:val="00D44DDA"/>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1D"/>
    <w:rsid w:val="00E1285B"/>
    <w:rsid w:val="00E16693"/>
    <w:rsid w:val="00E24F14"/>
    <w:rsid w:val="00E32CA7"/>
    <w:rsid w:val="00E36402"/>
    <w:rsid w:val="00E45176"/>
    <w:rsid w:val="00E61260"/>
    <w:rsid w:val="00E628FB"/>
    <w:rsid w:val="00E659DD"/>
    <w:rsid w:val="00E66027"/>
    <w:rsid w:val="00E853F6"/>
    <w:rsid w:val="00EA1A4C"/>
    <w:rsid w:val="00EA2333"/>
    <w:rsid w:val="00EB3615"/>
    <w:rsid w:val="00EB473F"/>
    <w:rsid w:val="00EE0877"/>
    <w:rsid w:val="00EE088E"/>
    <w:rsid w:val="00EE0B00"/>
    <w:rsid w:val="00EE2488"/>
    <w:rsid w:val="00EE3FF1"/>
    <w:rsid w:val="00EE44AE"/>
    <w:rsid w:val="00EF75C2"/>
    <w:rsid w:val="00F073F3"/>
    <w:rsid w:val="00F10762"/>
    <w:rsid w:val="00F31B4D"/>
    <w:rsid w:val="00F3328B"/>
    <w:rsid w:val="00F358BE"/>
    <w:rsid w:val="00F57303"/>
    <w:rsid w:val="00F57AE1"/>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2685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3</cp:revision>
  <cp:lastPrinted>2018-02-22T08:20:00Z</cp:lastPrinted>
  <dcterms:created xsi:type="dcterms:W3CDTF">2018-02-22T08:20:00Z</dcterms:created>
  <dcterms:modified xsi:type="dcterms:W3CDTF">2018-02-22T08:20:00Z</dcterms:modified>
</cp:coreProperties>
</file>